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Borders>
          <w:bottom w:color="000000" w:space="0" w:sz="4" w:val="dotted"/>
          <w:insideH w:color="000000" w:space="0" w:sz="4" w:val="dotted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>
          <w:rFonts w:ascii="Arial" w:cs="Arial" w:eastAsia="Arial" w:hAnsi="Arial"/>
          <w:sz w:val="20"/>
          <w:szCs w:val="20"/>
        </w:rPr>
        <w:sectPr>
          <w:headerReference r:id="rId7" w:type="default"/>
          <w:headerReference r:id="rId8" w:type="first"/>
          <w:footerReference r:id="rId9" w:type="default"/>
          <w:footerReference r:id="rId10" w:type="first"/>
          <w:pgSz w:h="16838" w:w="11906" w:orient="portrait"/>
          <w:pgMar w:bottom="1440" w:top="1440" w:left="1440" w:right="1440" w:header="709" w:footer="709"/>
          <w:pgNumType w:start="1"/>
          <w:titlePg w:val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9" w:footer="709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RM6306 Water Wastewater and Ancillary Services (3)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RM6306 Water Wastewater and Ancillary Services (3)</w:t>
      <w:tab/>
      <w:t xml:space="preserve">                                           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F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u3NJ/YVW6acGSwSDL1FWWj2m3g==">CgMxLjAyCGguZ2pkZ3hzOAByITFORFk3RzMtbGdSTXg5djZjamM2LXl4UFBrS1E4ZlFWWg==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